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[I128-2150] Сводная БД мероприятий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150-сводная-бд-мероприятий"/>
    <w:p>
      <w:pPr>
        <w:pStyle w:val="Heading1"/>
      </w:pPr>
      <w:r>
        <w:t xml:space="preserve">[I128-2150] Сводная БД мероприятий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02:23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?id=Help/Show&amp;m=CSpider/Admin/eventdbn</w:t>
      </w:r>
      <w:r>
        <w:t xml:space="preserve"> </w:t>
      </w:r>
      <w:r>
        <w:t xml:space="preserve">- описание параметра</w:t>
      </w:r>
      <w:r>
        <w:t xml:space="preserve"> </w:t>
      </w:r>
      <w:r>
        <w:rPr>
          <w:rStyle w:val="VerbatimChar"/>
        </w:rPr>
        <w:t xml:space="preserve">eventdbn</w:t>
      </w:r>
      <w:r>
        <w:t xml:space="preserve">, который задает имя сводной БД мероприятий.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?id=Help/Show&amp;m=CSpider/Admin/GeneralSettings</w:t>
      </w:r>
      <w:r>
        <w:t xml:space="preserve"> </w:t>
      </w:r>
      <w:r>
        <w:t xml:space="preserve">- добавлена ссылка на настройку сводной БД мероприятий.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?id=Help/Show&amp;m=CSpider/Admin/Organizations</w:t>
      </w:r>
      <w:r>
        <w:t xml:space="preserve"> </w:t>
      </w:r>
      <w:r>
        <w:t xml:space="preserve">- уточнено подключение БД мероприятий к организации через тип связи</w:t>
      </w:r>
      <w:r>
        <w:t xml:space="preserve"> </w:t>
      </w:r>
      <w:r>
        <w:rPr>
          <w:rStyle w:val="VerbatimChar"/>
        </w:rPr>
        <w:t xml:space="preserve">БД Мероприятий организации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?id=Help/Show&amp;m=CSpider/Admin/ProcessingStages</w:t>
      </w:r>
      <w:r>
        <w:t xml:space="preserve"> </w:t>
      </w:r>
      <w:r>
        <w:t xml:space="preserve">- описан выбор сводной БД по типу записи и условия обработки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?id=Help/Show&amp;m=CSpider/Admin/LinkDbInfo</w:t>
      </w:r>
      <w:r>
        <w:t xml:space="preserve"> </w:t>
      </w:r>
      <w:r>
        <w:t xml:space="preserve">- уточнено назначение</w:t>
      </w:r>
      <w:r>
        <w:t xml:space="preserve"> </w:t>
      </w:r>
      <w:r>
        <w:rPr>
          <w:rStyle w:val="VerbatimChar"/>
        </w:rPr>
        <w:t xml:space="preserve">vrl</w:t>
      </w:r>
      <w:r>
        <w:t xml:space="preserve"> </w:t>
      </w:r>
      <w:r>
        <w:t xml:space="preserve">и переход по шифру</w:t>
      </w:r>
      <w:r>
        <w:t xml:space="preserve"> </w:t>
      </w:r>
      <w:r>
        <w:rPr>
          <w:rStyle w:val="VerbatimChar"/>
        </w:rPr>
        <w:t xml:space="preserve">ssh</w:t>
      </w:r>
      <w:r>
        <w:t xml:space="preserve"> </w:t>
      </w:r>
      <w:r>
        <w:t xml:space="preserve">для записей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модуля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 </w:t>
      </w:r>
      <w:r>
        <w:t xml:space="preserve">описана поддержка отдельной сводной БД мероприятий. Документация объясняет, чем</w:t>
      </w:r>
      <w:r>
        <w:t xml:space="preserve"> </w:t>
      </w:r>
      <w:r>
        <w:rPr>
          <w:rStyle w:val="VerbatimChar"/>
        </w:rPr>
        <w:t xml:space="preserve">eventdbn</w:t>
      </w:r>
      <w:r>
        <w:t xml:space="preserve"> </w:t>
      </w:r>
      <w:r>
        <w:t xml:space="preserve">отличается от рабочей БД модуля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, как источники мероприятий подключаются к организациям, как модуль выбирает сводную БД по типу записи и какие проверки выполняются для записей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 </w:t>
      </w:r>
      <w:r>
        <w:t xml:space="preserve">на этапах обработки.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20"/>
    <w:p>
      <w:pPr>
        <w:pStyle w:val="Heading3"/>
      </w:pPr>
      <w:r>
        <w:t xml:space="preserve">1.1. 🔗 Соответствует задача: I128-2120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[I128-2120]</w:t>
        </w:r>
      </w:hyperlink>
      <w:r>
        <w:t xml:space="preserve"> </w:t>
      </w:r>
      <w:r>
        <w:t xml:space="preserve">Сводная БД мероприятий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2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2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[I128-2150] Сводная БД мероприятий</dc:title>
  <dc:creator/>
  <cp:keywords/>
  <dcterms:created xsi:type="dcterms:W3CDTF">2026-09-09T10:37:23Z</dcterms:created>
  <dcterms:modified xsi:type="dcterms:W3CDTF">2026-09-09T10:37:23Z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